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禧悦府项目</w:t>
      </w:r>
    </w:p>
    <w:p>
      <w:pPr>
        <w:spacing w:line="360" w:lineRule="auto"/>
        <w:jc w:val="center"/>
        <w:rPr>
          <w:rFonts w:ascii="楷体" w:hAnsi="楷体" w:eastAsia="楷体"/>
          <w:b/>
          <w:sz w:val="52"/>
          <w:szCs w:val="48"/>
        </w:rPr>
      </w:pPr>
      <w:r>
        <w:rPr>
          <w:rFonts w:hint="eastAsia" w:ascii="楷体" w:hAnsi="楷体" w:eastAsia="楷体"/>
          <w:b/>
          <w:sz w:val="52"/>
          <w:szCs w:val="48"/>
        </w:rPr>
        <w:t>微信大V公众号推广服务采购项目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6</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3</w:t>
      </w:r>
      <w:r>
        <w:rPr>
          <w:rFonts w:hint="eastAsia" w:ascii="楷体" w:hAnsi="楷体" w:eastAsia="楷体" w:cs="宋体"/>
          <w:b/>
          <w:bCs/>
          <w:color w:val="000000"/>
          <w:sz w:val="32"/>
          <w:szCs w:val="32"/>
        </w:rPr>
        <w:t>日</w:t>
      </w:r>
    </w:p>
    <w:p>
      <w:pPr>
        <w:jc w:val="center"/>
        <w:rPr>
          <w:rFonts w:ascii="仿宋_GB2312" w:eastAsia="仿宋_GB2312"/>
        </w:rPr>
      </w:pPr>
    </w:p>
    <w:p>
      <w:pPr>
        <w:pStyle w:val="2"/>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禧悦府项目微信大V公众号推广服务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rPr>
        <w:t>禧悦府项目微信大V公众号推广服务项目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服务单位需按照招选人要求实现禧悦府项目微信大V公众号推广服务项目（包括但不限于）：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rPr>
        <w:t>484,000元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公示时间：2022年6月3日起至2022 年 6月7止。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年6 月 9 日上午9：00起至9:30截止；逾期不予受理。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评审时间：2022年6 月9日10：00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FF0000"/>
          <w:sz w:val="24"/>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采购联系人：黄先生</w:t>
      </w:r>
    </w:p>
    <w:p>
      <w:pPr>
        <w:pStyle w:val="6"/>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联系电话：18126816168</w:t>
      </w:r>
    </w:p>
    <w:p>
      <w:pPr>
        <w:pStyle w:val="6"/>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6</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3</w:t>
      </w:r>
      <w:bookmarkStart w:id="23" w:name="_GoBack"/>
      <w:bookmarkEnd w:id="23"/>
      <w:r>
        <w:rPr>
          <w:rFonts w:hint="eastAsia" w:ascii="仿宋" w:hAnsi="仿宋" w:eastAsia="仿宋" w:cs="仿宋_GB2312"/>
          <w:kern w:val="0"/>
          <w:sz w:val="24"/>
        </w:rPr>
        <w:t>日</w:t>
      </w:r>
      <w:bookmarkStart w:id="2" w:name="_Toc334797738"/>
      <w:bookmarkStart w:id="3" w:name="_Toc238282338"/>
      <w:bookmarkStart w:id="4" w:name="_Toc130180842"/>
      <w:bookmarkStart w:id="5" w:name="_Toc130180737"/>
      <w:bookmarkStart w:id="6" w:name="_Toc130180923"/>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禧悦府项目微信大V公众号推广服务项目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4"/>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4"/>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4"/>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27"/>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竞投总价不得超过人民币肆拾玖万捌仟元整（￥484,000元）；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    年  月   日上午9：00起至9:30截止；逾期不予受理。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ascii="仿宋" w:hAnsi="仿宋" w:eastAsia="仿宋"/>
                <w:szCs w:val="21"/>
              </w:rPr>
            </w:pPr>
            <w:r>
              <w:rPr>
                <w:rFonts w:hint="eastAsia" w:ascii="仿宋" w:hAnsi="仿宋" w:eastAsia="仿宋"/>
                <w:szCs w:val="21"/>
              </w:rPr>
              <w:t>联 系 人：黄先生</w:t>
            </w:r>
          </w:p>
          <w:p>
            <w:pPr>
              <w:spacing w:line="240" w:lineRule="atLeast"/>
              <w:rPr>
                <w:rFonts w:ascii="仿宋" w:hAnsi="仿宋" w:eastAsia="仿宋"/>
                <w:szCs w:val="21"/>
              </w:rPr>
            </w:pPr>
            <w:r>
              <w:rPr>
                <w:rFonts w:hint="eastAsia" w:ascii="仿宋" w:hAnsi="仿宋" w:eastAsia="仿宋"/>
                <w:szCs w:val="21"/>
              </w:rPr>
              <w:t>联系电话：18126816168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7828529"/>
      <w:bookmarkStart w:id="8" w:name="_Toc428434793"/>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rPr>
        <w:t>禧悦府项目微信大V公众号推广的服务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由竞投人报价，最高限价人民币肆拾玖万捌仟元整（</w:t>
      </w:r>
      <w:r>
        <w:rPr>
          <w:rFonts w:hint="eastAsia" w:ascii="仿宋" w:hAnsi="仿宋" w:eastAsia="仿宋" w:cs="仿宋"/>
          <w:kern w:val="0"/>
          <w:szCs w:val="21"/>
        </w:rPr>
        <w:t>￥484,000元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5"/>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1"/>
        <w:tblW w:w="8979" w:type="dxa"/>
        <w:tblInd w:w="96" w:type="dxa"/>
        <w:tblLayout w:type="autofit"/>
        <w:tblCellMar>
          <w:top w:w="0" w:type="dxa"/>
          <w:left w:w="108" w:type="dxa"/>
          <w:bottom w:w="0" w:type="dxa"/>
          <w:right w:w="108" w:type="dxa"/>
        </w:tblCellMar>
      </w:tblPr>
      <w:tblGrid>
        <w:gridCol w:w="2220"/>
        <w:gridCol w:w="5454"/>
        <w:gridCol w:w="1305"/>
      </w:tblGrid>
      <w:tr>
        <w:tblPrEx>
          <w:tblCellMar>
            <w:top w:w="0" w:type="dxa"/>
            <w:left w:w="108" w:type="dxa"/>
            <w:bottom w:w="0" w:type="dxa"/>
            <w:right w:w="108" w:type="dxa"/>
          </w:tblCellMar>
        </w:tblPrEx>
        <w:trPr>
          <w:trHeight w:val="521"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媒体</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投放资源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增城房产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广州房产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广州PLUS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广州楼市发布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90秒视频拍摄发布视频号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“在湾区”微信公众号、视频号</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90秒视频拍摄发布视频号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707"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”在湾区“官方公众号原创软文-头条软文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707"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属下新闻类视频矩阵/炒作类图文媒体/kol朋友圈矩阵资源分发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不限</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”房频“微信公众号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官方微信公众号-头条软文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4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“城市战争”微信公众号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官方微信公众号-头条软文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4"/>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4"/>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4"/>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4"/>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4"/>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3"/>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3"/>
        <w:spacing w:line="240" w:lineRule="auto"/>
        <w:jc w:val="center"/>
        <w:rPr>
          <w:rFonts w:ascii="仿宋_GB2312" w:hAnsi="宋体" w:eastAsia="仿宋_GB2312" w:cs="宋体"/>
          <w:sz w:val="30"/>
          <w:szCs w:val="30"/>
        </w:rPr>
      </w:pPr>
      <w:bookmarkStart w:id="10" w:name="OLE_LINK3"/>
      <w:bookmarkStart w:id="11" w:name="OLE_LINK2"/>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 xml:space="preserve">项目名称：禧悦府项目微信大V公众号推广服务项目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1"/>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1"/>
        <w:tblW w:w="9218" w:type="dxa"/>
        <w:tblInd w:w="93" w:type="dxa"/>
        <w:tblLayout w:type="autofit"/>
        <w:tblCellMar>
          <w:top w:w="0" w:type="dxa"/>
          <w:left w:w="108" w:type="dxa"/>
          <w:bottom w:w="0" w:type="dxa"/>
          <w:right w:w="108" w:type="dxa"/>
        </w:tblCellMar>
      </w:tblPr>
      <w:tblGrid>
        <w:gridCol w:w="1114"/>
        <w:gridCol w:w="933"/>
        <w:gridCol w:w="1181"/>
        <w:gridCol w:w="775"/>
        <w:gridCol w:w="5215"/>
      </w:tblGrid>
      <w:tr>
        <w:tblPrEx>
          <w:tblCellMar>
            <w:top w:w="0" w:type="dxa"/>
            <w:left w:w="108" w:type="dxa"/>
            <w:bottom w:w="0" w:type="dxa"/>
            <w:right w:w="108" w:type="dxa"/>
          </w:tblCellMar>
        </w:tblPrEx>
        <w:trPr>
          <w:trHeight w:val="556"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829" w:hRule="atLeast"/>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价格份</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在限价的80%-100%的合理区间内的所有报价中最低价者得50分，次低价者扣2分，以此类推，凡不在合理报价范围内得0分。</w:t>
            </w:r>
          </w:p>
        </w:tc>
      </w:tr>
      <w:tr>
        <w:tblPrEx>
          <w:tblCellMar>
            <w:top w:w="0" w:type="dxa"/>
            <w:left w:w="108" w:type="dxa"/>
            <w:bottom w:w="0" w:type="dxa"/>
            <w:right w:w="108" w:type="dxa"/>
          </w:tblCellMar>
        </w:tblPrEx>
        <w:trPr>
          <w:trHeight w:val="982" w:hRule="atLeast"/>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9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公司资信情况良好，服务过同类性质项目，每提供相应合同或中标通知书等相关证明文件获得1分，最高得10分。</w:t>
            </w:r>
          </w:p>
        </w:tc>
      </w:tr>
      <w:tr>
        <w:tblPrEx>
          <w:tblCellMar>
            <w:top w:w="0" w:type="dxa"/>
            <w:left w:w="108" w:type="dxa"/>
            <w:bottom w:w="0" w:type="dxa"/>
            <w:right w:w="108" w:type="dxa"/>
          </w:tblCellMar>
        </w:tblPrEx>
        <w:trPr>
          <w:trHeight w:val="842" w:hRule="atLeast"/>
        </w:trPr>
        <w:tc>
          <w:tcPr>
            <w:tcW w:w="1114" w:type="dxa"/>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933" w:type="dxa"/>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对各项资源的整合程度</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ascii="仿宋" w:hAnsi="仿宋" w:eastAsia="仿宋" w:cs="宋体"/>
                <w:kern w:val="0"/>
                <w:szCs w:val="21"/>
              </w:rPr>
            </w:pPr>
            <w:r>
              <w:rPr>
                <w:rFonts w:hint="eastAsia" w:ascii="仿宋" w:hAnsi="仿宋" w:eastAsia="仿宋" w:cs="宋体"/>
                <w:kern w:val="0"/>
                <w:szCs w:val="21"/>
              </w:rPr>
              <w:t>对资源整合有较强的能力 8-10 分</w:t>
            </w:r>
          </w:p>
          <w:p>
            <w:pPr>
              <w:widowControl/>
              <w:numPr>
                <w:ilvl w:val="0"/>
                <w:numId w:val="2"/>
              </w:numPr>
              <w:jc w:val="left"/>
              <w:rPr>
                <w:rFonts w:ascii="仿宋" w:hAnsi="仿宋" w:eastAsia="仿宋" w:cs="宋体"/>
                <w:kern w:val="0"/>
                <w:szCs w:val="21"/>
              </w:rPr>
            </w:pPr>
            <w:r>
              <w:rPr>
                <w:rFonts w:hint="eastAsia" w:ascii="仿宋" w:hAnsi="仿宋" w:eastAsia="仿宋" w:cs="宋体"/>
                <w:kern w:val="0"/>
                <w:szCs w:val="21"/>
              </w:rPr>
              <w:t>对资源整合有基本的能力 5-7分</w:t>
            </w:r>
          </w:p>
          <w:p>
            <w:pPr>
              <w:widowControl/>
              <w:numPr>
                <w:ilvl w:val="0"/>
                <w:numId w:val="2"/>
              </w:numPr>
              <w:jc w:val="left"/>
              <w:rPr>
                <w:rFonts w:ascii="仿宋" w:hAnsi="仿宋" w:eastAsia="仿宋" w:cs="宋体"/>
                <w:kern w:val="0"/>
                <w:szCs w:val="21"/>
              </w:rPr>
            </w:pPr>
            <w:r>
              <w:rPr>
                <w:rFonts w:hint="eastAsia" w:ascii="仿宋" w:hAnsi="仿宋" w:eastAsia="仿宋" w:cs="宋体"/>
                <w:kern w:val="0"/>
                <w:szCs w:val="21"/>
              </w:rPr>
              <w:t>对资源整合能力较弱 1-4分</w:t>
            </w:r>
          </w:p>
        </w:tc>
      </w:tr>
      <w:tr>
        <w:tblPrEx>
          <w:tblCellMar>
            <w:top w:w="0" w:type="dxa"/>
            <w:left w:w="108" w:type="dxa"/>
            <w:bottom w:w="0" w:type="dxa"/>
            <w:right w:w="108" w:type="dxa"/>
          </w:tblCellMar>
        </w:tblPrEx>
        <w:trPr>
          <w:trHeight w:val="1376" w:hRule="atLeast"/>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933"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对所整合的资源拥有的优势</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资源方案新颖，内容丰富，符合推广需求 8-10 分</w:t>
            </w:r>
          </w:p>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资源方案内容较多，比较符合推广需求，5-7 分</w:t>
            </w:r>
          </w:p>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资源方案内容中规中矩，基本达到推广需求 3-4 分</w:t>
            </w:r>
          </w:p>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资源方案较为普通或不全 1-2 分</w:t>
            </w:r>
          </w:p>
        </w:tc>
      </w:tr>
      <w:tr>
        <w:tblPrEx>
          <w:tblCellMar>
            <w:top w:w="0" w:type="dxa"/>
            <w:left w:w="108" w:type="dxa"/>
            <w:bottom w:w="0" w:type="dxa"/>
            <w:right w:w="108" w:type="dxa"/>
          </w:tblCellMar>
        </w:tblPrEx>
        <w:trPr>
          <w:trHeight w:val="1274" w:hRule="atLeast"/>
        </w:trPr>
        <w:tc>
          <w:tcPr>
            <w:tcW w:w="111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93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方案可执行力，以及对技术性支持能力</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ascii="仿宋" w:hAnsi="仿宋" w:eastAsia="仿宋" w:cs="宋体"/>
                <w:kern w:val="0"/>
                <w:szCs w:val="21"/>
              </w:rPr>
            </w:pPr>
            <w:r>
              <w:rPr>
                <w:rFonts w:hint="eastAsia" w:ascii="仿宋" w:hAnsi="仿宋" w:eastAsia="仿宋" w:cs="宋体"/>
                <w:kern w:val="0"/>
                <w:szCs w:val="21"/>
              </w:rPr>
              <w:t>方案完善、配备全面、匹配度较高8-10 分</w:t>
            </w:r>
          </w:p>
          <w:p>
            <w:pPr>
              <w:widowControl/>
              <w:numPr>
                <w:ilvl w:val="0"/>
                <w:numId w:val="4"/>
              </w:numPr>
              <w:jc w:val="left"/>
              <w:rPr>
                <w:rFonts w:ascii="仿宋" w:hAnsi="仿宋" w:eastAsia="仿宋" w:cs="宋体"/>
                <w:kern w:val="0"/>
                <w:szCs w:val="21"/>
              </w:rPr>
            </w:pPr>
            <w:r>
              <w:rPr>
                <w:rFonts w:hint="eastAsia" w:ascii="仿宋" w:hAnsi="仿宋" w:eastAsia="仿宋" w:cs="宋体"/>
                <w:kern w:val="0"/>
                <w:szCs w:val="21"/>
              </w:rPr>
              <w:t>方案较为完善、配备合理、可操作较性强5-7分</w:t>
            </w:r>
          </w:p>
          <w:p>
            <w:pPr>
              <w:widowControl/>
              <w:numPr>
                <w:ilvl w:val="0"/>
                <w:numId w:val="4"/>
              </w:numPr>
              <w:jc w:val="left"/>
              <w:rPr>
                <w:rFonts w:ascii="仿宋" w:hAnsi="仿宋" w:eastAsia="仿宋" w:cs="宋体"/>
                <w:kern w:val="0"/>
                <w:szCs w:val="21"/>
              </w:rPr>
            </w:pPr>
            <w:r>
              <w:rPr>
                <w:rFonts w:hint="eastAsia" w:ascii="仿宋" w:hAnsi="仿宋" w:eastAsia="仿宋" w:cs="宋体"/>
                <w:kern w:val="0"/>
                <w:szCs w:val="21"/>
              </w:rPr>
              <w:t>方案执行存在一定难度，但通过深化完善最终可实现操作 1-4分</w:t>
            </w:r>
          </w:p>
        </w:tc>
      </w:tr>
      <w:tr>
        <w:tblPrEx>
          <w:tblCellMar>
            <w:top w:w="0" w:type="dxa"/>
            <w:left w:w="108" w:type="dxa"/>
            <w:bottom w:w="0" w:type="dxa"/>
            <w:right w:w="108" w:type="dxa"/>
          </w:tblCellMar>
        </w:tblPrEx>
        <w:trPr>
          <w:trHeight w:val="829" w:hRule="atLeast"/>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具有独家资源优势或可提供其他额外增值服务，根据服务内容给予 0-10 分</w:t>
            </w:r>
          </w:p>
        </w:tc>
      </w:tr>
      <w:tr>
        <w:tblPrEx>
          <w:tblCellMar>
            <w:top w:w="0" w:type="dxa"/>
            <w:left w:w="108" w:type="dxa"/>
            <w:bottom w:w="0" w:type="dxa"/>
            <w:right w:w="108" w:type="dxa"/>
          </w:tblCellMar>
        </w:tblPrEx>
        <w:trPr>
          <w:trHeight w:val="565" w:hRule="atLeast"/>
        </w:trPr>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禧悦府项目</w:t>
      </w:r>
    </w:p>
    <w:p>
      <w:pPr>
        <w:spacing w:line="360" w:lineRule="auto"/>
        <w:jc w:val="center"/>
        <w:rPr>
          <w:b/>
          <w:sz w:val="44"/>
          <w:szCs w:val="44"/>
        </w:rPr>
      </w:pPr>
      <w:r>
        <w:rPr>
          <w:rFonts w:hint="eastAsia"/>
          <w:b/>
          <w:sz w:val="44"/>
          <w:szCs w:val="44"/>
        </w:rPr>
        <w:t>微信大V公众号推广服务合同</w:t>
      </w:r>
    </w:p>
    <w:p>
      <w:pPr>
        <w:spacing w:line="360" w:lineRule="auto"/>
        <w:jc w:val="center"/>
        <w:rPr>
          <w:b/>
          <w:sz w:val="44"/>
          <w:szCs w:val="44"/>
        </w:rPr>
      </w:pPr>
      <w:r>
        <w:rPr>
          <w:rFonts w:hint="eastAsia"/>
          <w:b/>
          <w:sz w:val="44"/>
          <w:szCs w:val="44"/>
        </w:rPr>
        <w:t>（范本）</w:t>
      </w: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项目名称：禧悦府项目微信大V公众号推广服务项目</w:t>
      </w:r>
    </w:p>
    <w:p>
      <w:pPr>
        <w:pStyle w:val="5"/>
        <w:rPr>
          <w:rFonts w:ascii="仿宋" w:hAnsi="仿宋" w:eastAsia="仿宋"/>
        </w:rPr>
      </w:pPr>
    </w:p>
    <w:p>
      <w:pPr>
        <w:pStyle w:val="5"/>
        <w:spacing w:before="1"/>
        <w:rPr>
          <w:rFonts w:ascii="仿宋" w:hAnsi="仿宋" w:eastAsia="仿宋"/>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第一部分 合同协议书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甲方（广告主）：</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乙方（发布方）：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广告经营资质证书：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依据《中华人民共和国民法典》、《中华人民共和国广告法》及有关法律、法规、规章的规定，甲、乙双方在平等、自愿、协商一致的基础上，签订本合同。</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广告发布清单</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发布范围：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发布广告形式：</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1.3  发布时间范围：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1.4  发布地址和位置：</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1.5  媒体规格和面积：</w:t>
      </w:r>
      <w:r>
        <w:rPr>
          <w:rFonts w:hint="eastAsia" w:ascii="仿宋" w:hAnsi="仿宋" w:eastAsia="仿宋"/>
          <w:strike/>
          <w:color w:val="000000"/>
          <w:sz w:val="28"/>
          <w:szCs w:val="28"/>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1.6  发布数量及限量：</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1.7  其他约定：</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合同价款及付款方式</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2.1本合同约定的含税广告产品发布清单单价表为：_____________。该费用包括但不限于广告发布费、人工费、税费、安装拆卸费、维护费、亮化费用等。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2.2本合同总价款限价人民币         元。</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2.2付款方式：由甲方在广告产品发布清单单价表内选择相应的产品投放，并按选择的总额进行单次合同结算，或多次投放选择产品的总额进行季度/半年度结算。</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 乙方收款账号名称如下，甲方向下述账户支付本合同价款，即视为甲方已履行相应的付款义务：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开户名：</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开户账号：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应保证上述账户信息准确无误，如有任何变更的，应至少提前10个工作日以书面形式并保证有效通知到甲方；否则，因为账户信息有误、变更而未及时有效通知或由于乙方原因（包括但不限于账号被注销、被有权机关采取保全措施等）导致其无法收取款项的，由此造成的一切损失、风险及法律责任，均由乙方独自承担。乙方在此确认，甲方对乙方的付款均系基于乙方按约履行乙方在本协议项下的全部义务的前提下而支付，故若乙方有任何违约行为存在，且此种违约行为在乙方未按照本协议约定和甲方要求及时采取补救措施的（甲方有单方决定权决定是否给予乙方采取补救措施的机会），则在此种情况下甲方有权拒绝支付相应款项且无须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2.4甲方的开票信息</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1）公司名称（一般纳税人）：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2）纳税人编码：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3）开户银行帐号：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4）开户银行名称：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5）地址：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6）电话：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2.5增值税发票的名称为: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其他约定</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文本和效力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4.1本合同一式    份，甲方执     份，乙方执   份，具有同等效力。本合同包括第一部分合同协议书、第二部分通用合同条款以及附件，本合同自双方签署本合同协议书之日起生效。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4.2甲、乙双方在签署合同协议书前，已详细阅读并理解通用合同条款的约定及内容，同意签署合同协议书即视为接受通用合同条款约定的约束。合同协议书与通用合同条款不一致的，以合同协议书约定为准。</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（以下无《第一部分 合同协议书》之正文）</w:t>
      </w:r>
    </w:p>
    <w:p>
      <w:pPr>
        <w:spacing w:line="520" w:lineRule="exact"/>
        <w:rPr>
          <w:rFonts w:ascii="仿宋" w:hAnsi="仿宋" w:eastAsia="仿宋"/>
          <w:color w:val="000000"/>
          <w:sz w:val="28"/>
          <w:szCs w:val="28"/>
        </w:rPr>
      </w:pPr>
      <w:r>
        <w:rPr>
          <w:rFonts w:hint="eastAsia" w:ascii="仿宋" w:hAnsi="仿宋" w:eastAsia="仿宋"/>
          <w:color w:val="000000"/>
          <w:sz w:val="28"/>
          <w:szCs w:val="28"/>
        </w:rPr>
        <w:t>（本页为合同签署页，甲乙双方在此签署时，即视为双方均已充分知悉、理解和同意《第一部分 合同协议书》、《第二部分 通用合同条款》及附件之全部内容）</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甲方：                               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法定代表人：                </w:t>
      </w:r>
      <w:r>
        <w:rPr>
          <w:rFonts w:hint="eastAsia" w:ascii="仿宋" w:hAnsi="仿宋" w:eastAsia="仿宋"/>
          <w:color w:val="000000"/>
          <w:sz w:val="28"/>
          <w:szCs w:val="28"/>
        </w:rPr>
        <w:tab/>
      </w:r>
      <w:r>
        <w:rPr>
          <w:rFonts w:hint="eastAsia" w:ascii="仿宋" w:hAnsi="仿宋" w:eastAsia="仿宋"/>
          <w:color w:val="000000"/>
          <w:sz w:val="28"/>
          <w:szCs w:val="28"/>
        </w:rPr>
        <w:t xml:space="preserve">       法定代表人：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委托代理人：                         委托代理人：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签订日期:    年    月    日</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第二部分 通用合同条款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甲乙双方权利义务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甲方享有以下权利并承担以下义务：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1.1.1甲方按照《广告法》的规定向乙方提供必要的文件并承诺其提供的文件真实、合法、有效，不违反法律规定、不损害社会公共利益、不侵犯他人的民事权利。</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1.1.2甲方应当在广告发布日的___   _个工作日前，向乙方提供广告样稿和审批所需的真实性、合法性证明文件</w:t>
      </w:r>
      <w:bookmarkStart w:id="12" w:name="_Hlk105080562"/>
      <w:r>
        <w:rPr>
          <w:rFonts w:hint="eastAsia" w:ascii="仿宋" w:hAnsi="仿宋" w:eastAsia="仿宋"/>
          <w:color w:val="000000" w:themeColor="text1"/>
          <w:sz w:val="28"/>
          <w:szCs w:val="28"/>
          <w14:textFill>
            <w14:solidFill>
              <w14:schemeClr w14:val="tx1"/>
            </w14:solidFill>
          </w14:textFill>
        </w:rPr>
        <w:t>（有指定日期按甲方指定日期发布，没有指定的需要在投放计划对应时间3天内发布）</w:t>
      </w:r>
      <w:bookmarkEnd w:id="12"/>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1.1.3 甲方应按照合同约定的金额、时间、方式支付合同价款。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1.1.4甲方对广告发布内容有确认权及变更权，未经甲方确认，乙方不得擅自发布或变更发布内容。广告发布期内，如甲方需更换广告发布内容的，乙方应予以配合。</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乙方享有以下权利并承担以下义务：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 乙方合法拥有本合同约定媒体的广告发布资格及权利，如因乙方原因导致广告发布遭受第三方索赔、干扰、行政处罚等责任，由乙方负责妥善解决并承担全部责任，承担甲方应诉等行为和承担其他不利义务而支付的一切费用，甲方因此而承担法律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1.2.2乙方应当依法向相关管理部门申请办理相关广告发布许可审批手续（如需）。</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1.2.3乙方应当按照本合同约定的时间及要求发布本合同约定广告。</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1.2.4乙方应当及时维护发布相关广告的相应设施，确保广告发布设施的正常使用和广告内容发布的正常效果。</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1.2.5乙方应甲方要求如实提供广告发布的数据资料。</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1.2.6在本合同履行完毕或合同解除时，乙方应当将广告材料或附加物料退还甲方，删除或销毁相关电子数据，且未经甲方事先书面同意不得将广告及/或相关素材提供给第三方。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1.2.7乙方应尽法定审查义务，对不符合法律、法规的广告内容和表现形式，乙方有义务提示甲方进行修改，并对审查结果承担法律责任。因甲方提供虚假证明材料直接造成广告作品侵犯第三方合法权益的，甲方承担全部责任，但乙方明知或应知甲方提供虚假证明材料的除外。</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1.2.8 因乙方广告发布违反政府部门相关规定，受到政府部门相关处罚的，由乙方承担相应责任，由此造成甲方损失的，乙方应当予以赔偿。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1.2.9 乙方在履行本合同过程中形成的任何文案、图片、视频、音频等作品、资料或文件归甲方所有；如形成知识产权的，则归甲方所有。</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1.2.10除甲方所提供的文件外，乙方应当保证其为制作、发布广告成果所使用的一切素材无任何著作权、商标权、专利权或其他知识产权方面的权利限制或瑕疵，不会侵犯任何专利、商标、商号、版权、肖像权、技术秘密、商业秘密或其他任何权益。如为本合同目的所使用之任何资料涉及第三方之法律权利，乙方应事先取得该第三方的同意。若乙方违反上述承诺而导致甲方被第三方追究相应法律责任时，乙方应当负责妥善解决，承担甲方应诉等行为和承担其他不利义务而支付的一切费用，甲方因此而承担侵权赔偿等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发票条款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合同价款及合同项下各项应支付的费用，已包含乙方为履行此合同按照税收法律法规规定在中华人民共和国境内外所必须缴纳的一切直接或间接税费及规费，包括但不限于增值税、企业所得税、个人所得税、关税等税费。双方确认，合同履行期间，如遇国家税率调整，应根据增值税纳税义务发生时间确定应适用的税率，并相应调整含税价款。合同期内，由于乙方自身纳税人身份、纳税方式及国家税制改革原因带来税种及税率的变化，非经甲方书面同意，本合同不含增值税价不予调整。本合同计价结算的货币为人民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在甲方向乙方支付合同价款前，乙方必须向甲方提供由乙方按核定付款金额开具的、与合同内容一致并符合税务机关规定的合法、有效增值税专用发票，由于乙方提供的发票不规范、不合法引起税务问题（包括但不限于发票无法抵扣、被认定为虚开、甲方遭受税务机关调查等）的，乙方应向甲方承担赔偿责任，包括但不限于税款、附加费、滞纳金、罚款及相关损失；如给甲方造成严重损失的，致使合同无法继续履行的，甲方有权单方解除合同。乙方不能及时提供符合甲方要求的合法发票，甲方有权顺延付款直至乙方提供符合本合同约定的发票，且甲方无需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乙方应在发票记载的开具之日起15个工作日内（不得跨公历年）将发票送达甲方。若乙方开具的增值税发票信息不正确，应在接到甲方通知后的15日内重新开具正确的增值税发票并送达至甲方，乙方自行承担相关费用。甲方收到发票后，发票无论何种原因丢失，乙方应配合甲方按照国家法律、法规、规章、政策等规定重新取得甲方可用作原始会计凭证并受税务机关认可的合法合规的相关凭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本合同项下的罚款、违约金、赔偿均已包含增值税费及其附加，如为乙方收取，则乙方必须开具增值税发票，增值税发票类型要求同前述。乙方向甲方支付的罚款、违约赔偿款等并非原合同约定价款，因此合同总价款不变，乙方向甲方开具关于合同总价款的发票金额不受该等罚款违约赔偿安排的影响。</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违约责任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3.1  甲方未能按本合同的约定向乙方支付相关款项，如非为甲方原因，则甲方无需承担任何责任；如为甲方原因，甲方每迟延一天，则甲方以应付未付金额为基数并按照中国人民银行发布的同期活期存款基准利率向乙方支付违约金；逾期超过30天的，乙方有权解除本合同。</w:t>
      </w:r>
    </w:p>
    <w:p>
      <w:pPr>
        <w:spacing w:line="520" w:lineRule="exact"/>
        <w:rPr>
          <w:rFonts w:ascii="仿宋" w:hAnsi="仿宋" w:eastAsia="仿宋"/>
          <w:color w:val="000000"/>
          <w:sz w:val="28"/>
          <w:szCs w:val="28"/>
        </w:rPr>
      </w:pPr>
      <w:r>
        <w:rPr>
          <w:rFonts w:hint="eastAsia" w:ascii="仿宋" w:hAnsi="仿宋" w:eastAsia="仿宋"/>
          <w:color w:val="000000"/>
          <w:sz w:val="28"/>
          <w:szCs w:val="28"/>
        </w:rPr>
        <w:t>3.2  因乙方原因造成广告无法按期发布的，乙方应承担违约责任，甲方有权选择以下任一方式处理：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（1）甲方有权单方解除本合同，终止本广告的发布，乙方应双倍退还甲方已支付的费用；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（2）继续广告发布，但乙方每迟延一天，按照合同总价的千分之三的标准向甲方支付违约金；迟延超过10天的，甲方有权单方解除本合同，乙方除退还已收取费用外，还应向甲方支付相当于合同总价的 30 %作为违约金。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3.3  乙方未能根据甲方修复通知确定修复期限修复发生故障并影响广告发布效果的广告设施或画面内容的，应按照每条发生故障的广告每日按照合同总价的千分之三的标准向甲方支付违约金，同时应当补足未能正常发布的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3.4  因乙方原因造成发布的广告不符合本合同约定或甲方要求的，包括但不限于广告规格、内容错误、印刷不清</w:t>
      </w:r>
      <w:r>
        <w:rPr>
          <w:rFonts w:hint="eastAsia" w:ascii="仿宋" w:hAnsi="仿宋" w:eastAsia="仿宋"/>
          <w:color w:val="000000" w:themeColor="text1"/>
          <w:sz w:val="28"/>
          <w:szCs w:val="28"/>
          <w14:textFill>
            <w14:solidFill>
              <w14:schemeClr w14:val="tx1"/>
            </w14:solidFill>
          </w14:textFill>
        </w:rPr>
        <w:t>、广告曝光量</w:t>
      </w:r>
      <w:r>
        <w:rPr>
          <w:rFonts w:hint="eastAsia" w:ascii="仿宋" w:hAnsi="仿宋" w:eastAsia="仿宋"/>
          <w:color w:val="000000"/>
          <w:sz w:val="28"/>
          <w:szCs w:val="28"/>
        </w:rPr>
        <w:t>不足等，甲方有权选择以下任一方式处理：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（1）乙方退还相应费用，并支付相当于合同总价的 20 %作为违约金；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（2）乙方于该事项发生或甲方知悉后的第二日按本合同要求免费重新发布广告一次，如本合同约定有广告发布期限的，则发布期限应作相应延长。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3.5  乙方未尽法定的广告审查义务导致发布的广告违法并造成甲方损失的，甲方有权向乙方追究相应赔偿责任。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3.6  合同签订后，乙方未经甲方同意擅自解除本合同的，乙方应当按照本合同总价的20%向甲方支付违约金；如违约金不足以弥补由此造成的甲方损失，乙方应当予以全部赔偿。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3.7  若乙方未履行合同其他义务，且在收到甲方要求纠正违约行为的通知后5日内仍未予纠正的，则甲方有权解除合同，并有权要求乙方按合同总价的20%支付违约金。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因不可抗力或重大社会活动或事件等特殊原因致使广告无法按约定发布的，应由甲乙双方协商解决，必要时，应签订补充协议。</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乙方应当对在合同履行过程中通过甲方资料或其他途径知悉的甲方任何生产经营等有关事项保守秘密，非为本合同之目的，或甲方事先书面同意，乙方不得擅自将任何甲方资料、文件、信息等商业秘密公开、泄露、转让或披露给其他第三方，否则，乙方应向甲方支付违约金人民币【    】元；如违约金不足以弥补甲方遭受的损失的，乙方应予以继续赔偿。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未经甲方书面同意，乙方不得将其在本协议项下的权利和义务转让给任何第三方。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法律适用和争议解决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7.1 本合同的成立、有效性、解释、履行、签署、修订和终止以及争议的解决均应适用中华人民共和国法律。因本合同的效力、履行而产生的任何争议，甲、乙双方应友好协商解决，若协商解决不成，任何一方均可向甲方所在地人民法院提起诉讼。</w:t>
      </w:r>
    </w:p>
    <w:p>
      <w:pPr>
        <w:spacing w:line="520" w:lineRule="exact"/>
        <w:rPr>
          <w:rFonts w:ascii="仿宋" w:hAnsi="仿宋" w:eastAsia="仿宋"/>
          <w:color w:val="000000"/>
          <w:sz w:val="28"/>
          <w:szCs w:val="28"/>
        </w:rPr>
      </w:pPr>
      <w:r>
        <w:rPr>
          <w:rFonts w:hint="eastAsia" w:ascii="仿宋" w:hAnsi="仿宋" w:eastAsia="仿宋"/>
          <w:color w:val="000000"/>
          <w:sz w:val="28"/>
          <w:szCs w:val="28"/>
        </w:rPr>
        <w:t>7.2 在争议解决期间，除争议事项外，各方应在所有方面继续履行本协议。本条有关争议解决的条款应在本协议终止或期满后继续有效。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7.3 在争议解决期间，无论纠纷是否由于任一方的故意或过失造成，各方均应通过协商、调解、诉诸争议解决机构等理性方式来解决纠纷事项，不得采用通过任何致使或可能致使除本协议以外其他主体知悉的方式（包括但不限于通过公告栏、宣传栏、电视台、广播电台、报纸、杂志、门户网站、自媒体、微博、微信、微信公众号、QQ、抖音、快手、哔哩哔哩、小红书、知乎、论坛、贴吧等传统媒体及/或互联网媒介方式，以及张贴大字报、拉横幅、前往任一方经营场所闹事、实施任何影响或可能影响任一方名誉、商誉、品牌或正常生产经营秩序的行为）来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第八条  本合同附件构成本合同组成部分，与合同正文具有相同法律效力。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第九条  通知和送达</w:t>
      </w:r>
    </w:p>
    <w:p>
      <w:pPr>
        <w:spacing w:line="520" w:lineRule="exact"/>
        <w:rPr>
          <w:rFonts w:ascii="仿宋" w:hAnsi="仿宋" w:eastAsia="仿宋"/>
          <w:color w:val="000000"/>
          <w:sz w:val="28"/>
          <w:szCs w:val="28"/>
        </w:rPr>
      </w:pPr>
      <w:r>
        <w:rPr>
          <w:rFonts w:hint="eastAsia" w:ascii="仿宋" w:hAnsi="仿宋" w:eastAsia="仿宋"/>
          <w:color w:val="000000"/>
          <w:sz w:val="28"/>
          <w:szCs w:val="28"/>
        </w:rPr>
        <w:t>9.1 双方于本合同项下的通知、声明或其他意思表示应采用书面形式，并以专人递送、邮件快递形式送至合同起始部分载明的联系地址。 一方联系地址发生变化的，应至少在变化前5个工作日以书面形式通知其他方；未及时通知的，变动一方应对由此造成的不利后果和损失承担责任。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9.2 双方确认该等联系地址同样作为人民法院和/或仲裁机构的法律文书（含裁判文书）送达地址，且该约定为独立条款，不受本合同整体或其他条款的效力的影响。</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（以下无《第二部分 通用合同条款》正文）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附件1：投放执行清单</w:t>
      </w:r>
    </w:p>
    <w:tbl>
      <w:tblPr>
        <w:tblStyle w:val="11"/>
        <w:tblW w:w="8979" w:type="dxa"/>
        <w:tblInd w:w="96" w:type="dxa"/>
        <w:tblLayout w:type="autofit"/>
        <w:tblCellMar>
          <w:top w:w="0" w:type="dxa"/>
          <w:left w:w="108" w:type="dxa"/>
          <w:bottom w:w="0" w:type="dxa"/>
          <w:right w:w="108" w:type="dxa"/>
        </w:tblCellMar>
      </w:tblPr>
      <w:tblGrid>
        <w:gridCol w:w="2220"/>
        <w:gridCol w:w="5454"/>
        <w:gridCol w:w="1305"/>
      </w:tblGrid>
      <w:tr>
        <w:tblPrEx>
          <w:tblCellMar>
            <w:top w:w="0" w:type="dxa"/>
            <w:left w:w="108" w:type="dxa"/>
            <w:bottom w:w="0" w:type="dxa"/>
            <w:right w:w="108" w:type="dxa"/>
          </w:tblCellMar>
        </w:tblPrEx>
        <w:trPr>
          <w:trHeight w:val="521"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媒体</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投放资源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增城房产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广州房产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广州PLUS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广州楼市发布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90秒视频拍摄发布视频号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06" w:hRule="atLeast"/>
        </w:trPr>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“在湾区”微信公众号、视频号</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90秒视频拍摄发布视频号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707"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”在湾区“官方公众号原创软文-头条软文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707" w:hRule="atLeast"/>
        </w:trPr>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属下新闻类视频矩阵/炒作类图文媒体/kol朋友圈矩阵资源分发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不限</w:t>
            </w:r>
          </w:p>
        </w:tc>
      </w:tr>
      <w:tr>
        <w:tblPrEx>
          <w:tblCellMar>
            <w:top w:w="0" w:type="dxa"/>
            <w:left w:w="108" w:type="dxa"/>
            <w:bottom w:w="0" w:type="dxa"/>
            <w:right w:w="108" w:type="dxa"/>
          </w:tblCellMar>
        </w:tblPrEx>
        <w:trPr>
          <w:trHeight w:val="60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”房频“微信公众号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官方微信公众号-头条软文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r>
        <w:tblPrEx>
          <w:tblCellMar>
            <w:top w:w="0" w:type="dxa"/>
            <w:left w:w="108" w:type="dxa"/>
            <w:bottom w:w="0" w:type="dxa"/>
            <w:right w:w="108" w:type="dxa"/>
          </w:tblCellMar>
        </w:tblPrEx>
        <w:trPr>
          <w:trHeight w:val="646"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“城市战争”微信公众号  </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官方微信公众号-头条软文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r>
    </w:tbl>
    <w:p>
      <w:pPr>
        <w:spacing w:line="520" w:lineRule="exact"/>
        <w:rPr>
          <w:rFonts w:ascii="仿宋" w:hAnsi="仿宋" w:eastAsia="仿宋"/>
          <w:color w:val="000000"/>
          <w:sz w:val="28"/>
          <w:szCs w:val="28"/>
        </w:rPr>
      </w:pPr>
      <w:r>
        <w:rPr>
          <w:rFonts w:hint="eastAsia" w:ascii="仿宋" w:hAnsi="仿宋" w:eastAsia="仿宋"/>
          <w:color w:val="000000"/>
          <w:sz w:val="28"/>
          <w:szCs w:val="28"/>
        </w:rPr>
        <w:t>（根据投标单位最终应标方案出具）</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
      <w:pPr>
        <w:widowControl/>
        <w:jc w:val="left"/>
        <w:rPr>
          <w:rFonts w:ascii="仿宋" w:hAnsi="仿宋" w:eastAsia="仿宋"/>
        </w:rPr>
      </w:pPr>
      <w:r>
        <w:rPr>
          <w:rFonts w:ascii="仿宋" w:hAnsi="仿宋" w:eastAsia="仿宋"/>
        </w:rPr>
        <w:br w:type="page"/>
      </w:r>
    </w:p>
    <w:p>
      <w:pPr>
        <w:pStyle w:val="3"/>
        <w:spacing w:line="240" w:lineRule="auto"/>
        <w:jc w:val="center"/>
      </w:pPr>
      <w:r>
        <w:rPr>
          <w:rFonts w:hint="eastAsia" w:ascii="仿宋_GB2312" w:hAnsi="宋体" w:eastAsia="仿宋_GB2312" w:cs="宋体"/>
        </w:rPr>
        <w:t>六、竞投文件格式（竞投人提交）</w:t>
      </w:r>
    </w:p>
    <w:p>
      <w:pPr>
        <w:pStyle w:val="3"/>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禧悦府项目微信大V公众号推广服务项目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竞投日期：2021年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3"/>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3"/>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7"/>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7"/>
        <w:spacing w:line="300" w:lineRule="auto"/>
        <w:ind w:firstLine="420" w:firstLineChars="200"/>
        <w:rPr>
          <w:rFonts w:ascii="仿宋_GB2312" w:hAnsi="宋体" w:eastAsia="仿宋_GB2312"/>
          <w:color w:val="000000"/>
          <w:sz w:val="21"/>
          <w:szCs w:val="21"/>
        </w:rPr>
      </w:pPr>
    </w:p>
    <w:p>
      <w:pPr>
        <w:pStyle w:val="7"/>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7"/>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3"/>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3"/>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禧悦府项目</w:t>
      </w:r>
      <w:r>
        <w:rPr>
          <w:rFonts w:hint="eastAsia" w:ascii="仿宋_GB2312" w:hAnsi="宋体" w:eastAsia="仿宋_GB2312" w:cs="Tahoma"/>
          <w:kern w:val="28"/>
          <w:szCs w:val="21"/>
        </w:rPr>
        <w:t>微信大V公众号推广服务项目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1"/>
        <w:tblpPr w:leftFromText="180" w:rightFromText="180" w:vertAnchor="text" w:horzAnchor="page" w:tblpXSpec="center" w:tblpY="485"/>
        <w:tblOverlap w:val="never"/>
        <w:tblW w:w="10378" w:type="dxa"/>
        <w:jc w:val="center"/>
        <w:tblLayout w:type="autofit"/>
        <w:tblCellMar>
          <w:top w:w="0" w:type="dxa"/>
          <w:left w:w="108" w:type="dxa"/>
          <w:bottom w:w="0" w:type="dxa"/>
          <w:right w:w="108" w:type="dxa"/>
        </w:tblCellMar>
      </w:tblPr>
      <w:tblGrid>
        <w:gridCol w:w="1953"/>
        <w:gridCol w:w="2730"/>
        <w:gridCol w:w="2040"/>
        <w:gridCol w:w="2326"/>
        <w:gridCol w:w="1329"/>
      </w:tblGrid>
      <w:tr>
        <w:tblPrEx>
          <w:tblCellMar>
            <w:top w:w="0" w:type="dxa"/>
            <w:left w:w="108" w:type="dxa"/>
            <w:bottom w:w="0" w:type="dxa"/>
            <w:right w:w="108" w:type="dxa"/>
          </w:tblCellMar>
        </w:tblPrEx>
        <w:trPr>
          <w:trHeight w:val="517"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媒体</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投放资源</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费用</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kern w:val="0"/>
                <w:sz w:val="22"/>
                <w:szCs w:val="22"/>
                <w:lang w:bidi="ar"/>
              </w:rPr>
            </w:pPr>
            <w:r>
              <w:rPr>
                <w:rFonts w:hint="eastAsia" w:ascii="等线" w:hAnsi="等线" w:eastAsia="等线" w:cs="等线"/>
                <w:b/>
                <w:bCs/>
                <w:color w:val="000000"/>
                <w:kern w:val="0"/>
                <w:sz w:val="22"/>
                <w:szCs w:val="22"/>
                <w:lang w:bidi="ar"/>
              </w:rPr>
              <w:t>总费用</w:t>
            </w:r>
          </w:p>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（万元）</w:t>
            </w:r>
          </w:p>
        </w:tc>
      </w:tr>
      <w:tr>
        <w:tblPrEx>
          <w:tblCellMar>
            <w:top w:w="0" w:type="dxa"/>
            <w:left w:w="108" w:type="dxa"/>
            <w:bottom w:w="0" w:type="dxa"/>
            <w:right w:w="108" w:type="dxa"/>
          </w:tblCellMar>
        </w:tblPrEx>
        <w:trPr>
          <w:trHeight w:val="604"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增城房产             </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604"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广州房产             </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604"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广州PLUS            </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原创软文-头条软文</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604"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广州楼市发布     </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90秒视频拍摄发布视频号</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604" w:hRule="atLeast"/>
          <w:jc w:val="center"/>
        </w:trPr>
        <w:tc>
          <w:tcPr>
            <w:tcW w:w="1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“在湾区”微信公众号、视频号</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90秒视频拍摄发布视频号</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705" w:hRule="atLeast"/>
          <w:jc w:val="center"/>
        </w:trPr>
        <w:tc>
          <w:tcPr>
            <w:tcW w:w="1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color w:val="000000"/>
                <w:sz w:val="22"/>
                <w:szCs w:val="22"/>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”在湾区“官方公众号原创软文-头条软文</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705" w:hRule="atLeast"/>
          <w:jc w:val="center"/>
        </w:trPr>
        <w:tc>
          <w:tcPr>
            <w:tcW w:w="1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color w:val="000000"/>
                <w:sz w:val="22"/>
                <w:szCs w:val="22"/>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属下新闻类视频矩阵/炒作类图文媒体/kol朋友圈矩阵资源分发</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不限</w:t>
            </w:r>
          </w:p>
        </w:tc>
        <w:tc>
          <w:tcPr>
            <w:tcW w:w="23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604"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”房频“微信公众号 </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官方微信公众号-头条软文</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604" w:hRule="atLeast"/>
          <w:jc w:val="center"/>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“城市战争”微信公众号  </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官方微信公众号-头条软文</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1期</w:t>
            </w:r>
          </w:p>
        </w:tc>
        <w:tc>
          <w:tcPr>
            <w:tcW w:w="2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923" w:hRule="atLeast"/>
          <w:jc w:val="center"/>
        </w:trPr>
        <w:tc>
          <w:tcPr>
            <w:tcW w:w="103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38" w:hanging="638" w:hangingChars="290"/>
              <w:jc w:val="left"/>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备注：1.原创软文含软文大纲，全文撰写、推广发布，具体内容根据项目需求定制；</w:t>
            </w:r>
          </w:p>
          <w:p>
            <w:pPr>
              <w:widowControl/>
              <w:ind w:left="638" w:hanging="638" w:hangingChars="290"/>
              <w:jc w:val="left"/>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2.90秒视频拍摄及发布，含文案脚本、标准化实景拍摄 、后期剪辑、辅助动画特效 、音效配音以及项目分发上线媒体曝光推广；</w:t>
            </w:r>
          </w:p>
          <w:p>
            <w:pPr>
              <w:widowControl/>
              <w:ind w:left="638" w:hanging="638" w:hangingChars="290"/>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3.以上投放渠道如有额外附带增值服务及推广方式可再作补充。</w:t>
            </w:r>
          </w:p>
        </w:tc>
      </w:tr>
    </w:tbl>
    <w:p>
      <w:pPr>
        <w:spacing w:line="360" w:lineRule="auto"/>
        <w:jc w:val="left"/>
        <w:rPr>
          <w:rFonts w:ascii="仿宋_GB2312" w:hAnsi="仿宋_GB2312" w:eastAsia="仿宋_GB2312" w:cs="仿宋_GB2312"/>
          <w:szCs w:val="21"/>
        </w:rPr>
      </w:pP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3"/>
        <w:jc w:val="center"/>
        <w:rPr>
          <w:rFonts w:ascii="宋体" w:hAnsi="宋体" w:eastAsia="宋体" w:cs="宋体"/>
        </w:rPr>
      </w:pPr>
      <w:bookmarkStart w:id="13" w:name="OLE_LINK1"/>
      <w:r>
        <w:rPr>
          <w:rFonts w:hint="eastAsia" w:ascii="宋体" w:hAnsi="宋体" w:eastAsia="宋体" w:cs="宋体"/>
        </w:rPr>
        <w:t>公司近两年同类项目业绩情况一览表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3"/>
    <w:p>
      <w:pPr>
        <w:spacing w:line="440" w:lineRule="exact"/>
        <w:rPr>
          <w:rFonts w:ascii="仿宋_GB2312" w:hAnsi="宋体" w:eastAsia="仿宋_GB2312"/>
          <w:bCs/>
          <w:sz w:val="24"/>
        </w:rPr>
      </w:pPr>
      <w:bookmarkStart w:id="14" w:name="_Toc238282344"/>
      <w:bookmarkStart w:id="15" w:name="_Toc245819142"/>
      <w:bookmarkStart w:id="16" w:name="_Toc228899514"/>
      <w:bookmarkStart w:id="17" w:name="_Toc224435734"/>
      <w:bookmarkStart w:id="18" w:name="_Toc223939114"/>
      <w:bookmarkStart w:id="19" w:name="_Toc334797776"/>
      <w:bookmarkStart w:id="20" w:name="_Toc225565960"/>
      <w:bookmarkStart w:id="21" w:name="_Toc228644985"/>
      <w:bookmarkStart w:id="22" w:name="_Toc42951056"/>
    </w:p>
    <w:bookmarkEnd w:id="14"/>
    <w:bookmarkEnd w:id="15"/>
    <w:bookmarkEnd w:id="16"/>
    <w:bookmarkEnd w:id="17"/>
    <w:bookmarkEnd w:id="18"/>
    <w:bookmarkEnd w:id="19"/>
    <w:bookmarkEnd w:id="20"/>
    <w:bookmarkEnd w:id="21"/>
    <w:bookmarkEnd w:id="22"/>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4B1C5"/>
    <w:multiLevelType w:val="singleLevel"/>
    <w:tmpl w:val="82D4B1C5"/>
    <w:lvl w:ilvl="0" w:tentative="0">
      <w:start w:val="1"/>
      <w:numFmt w:val="decimal"/>
      <w:lvlText w:val="%1."/>
      <w:lvlJc w:val="left"/>
      <w:pPr>
        <w:ind w:left="425" w:hanging="425"/>
      </w:pPr>
      <w:rPr>
        <w:rFonts w:hint="default"/>
      </w:rPr>
    </w:lvl>
  </w:abstractNum>
  <w:abstractNum w:abstractNumId="1">
    <w:nsid w:val="BE6EF9B6"/>
    <w:multiLevelType w:val="singleLevel"/>
    <w:tmpl w:val="BE6EF9B6"/>
    <w:lvl w:ilvl="0" w:tentative="0">
      <w:start w:val="1"/>
      <w:numFmt w:val="decimal"/>
      <w:suff w:val="nothing"/>
      <w:lvlText w:val="%1、"/>
      <w:lvlJc w:val="left"/>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61F9410C"/>
    <w:multiLevelType w:val="singleLevel"/>
    <w:tmpl w:val="61F9410C"/>
    <w:lvl w:ilvl="0" w:tentative="0">
      <w:start w:val="1"/>
      <w:numFmt w:val="decimal"/>
      <w:lvlText w:val="%1."/>
      <w:lvlJc w:val="left"/>
      <w:pPr>
        <w:ind w:left="425" w:hanging="425"/>
      </w:pPr>
      <w:rPr>
        <w:rFonts w:hint="default"/>
      </w:rPr>
    </w:lvl>
  </w:abstractNum>
  <w:abstractNum w:abstractNumId="4">
    <w:nsid w:val="70806638"/>
    <w:multiLevelType w:val="singleLevel"/>
    <w:tmpl w:val="70806638"/>
    <w:lvl w:ilvl="0" w:tentative="0">
      <w:start w:val="1"/>
      <w:numFmt w:val="decimal"/>
      <w:lvlText w:val="%1."/>
      <w:lvlJc w:val="left"/>
      <w:pPr>
        <w:ind w:left="425" w:hanging="425"/>
      </w:pPr>
      <w:rPr>
        <w:rFonts w:hint="default"/>
      </w:rPr>
    </w:lvl>
  </w:abstractNum>
  <w:abstractNum w:abstractNumId="5">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33F48"/>
    <w:rsid w:val="00073D41"/>
    <w:rsid w:val="000B0AB0"/>
    <w:rsid w:val="000D31AF"/>
    <w:rsid w:val="002270D0"/>
    <w:rsid w:val="002337AE"/>
    <w:rsid w:val="00276EBF"/>
    <w:rsid w:val="00343F5C"/>
    <w:rsid w:val="003551A5"/>
    <w:rsid w:val="003F3EAC"/>
    <w:rsid w:val="004521B7"/>
    <w:rsid w:val="005213E2"/>
    <w:rsid w:val="00556797"/>
    <w:rsid w:val="005D6334"/>
    <w:rsid w:val="005E73A7"/>
    <w:rsid w:val="00612376"/>
    <w:rsid w:val="00616977"/>
    <w:rsid w:val="006F46AA"/>
    <w:rsid w:val="007214DE"/>
    <w:rsid w:val="0072258B"/>
    <w:rsid w:val="00770BB7"/>
    <w:rsid w:val="007870CE"/>
    <w:rsid w:val="00797F8E"/>
    <w:rsid w:val="007A74E0"/>
    <w:rsid w:val="009726F2"/>
    <w:rsid w:val="00995D25"/>
    <w:rsid w:val="009B3457"/>
    <w:rsid w:val="00A310AB"/>
    <w:rsid w:val="00A7327B"/>
    <w:rsid w:val="00A84E79"/>
    <w:rsid w:val="00AA5458"/>
    <w:rsid w:val="00AD11B0"/>
    <w:rsid w:val="00AD65BD"/>
    <w:rsid w:val="00B81A45"/>
    <w:rsid w:val="00BD4045"/>
    <w:rsid w:val="00C72D74"/>
    <w:rsid w:val="00CA39FE"/>
    <w:rsid w:val="00CC1E84"/>
    <w:rsid w:val="00CC794A"/>
    <w:rsid w:val="00D1744B"/>
    <w:rsid w:val="00D419D7"/>
    <w:rsid w:val="00DE323A"/>
    <w:rsid w:val="00E2550B"/>
    <w:rsid w:val="00E52182"/>
    <w:rsid w:val="00EC6A86"/>
    <w:rsid w:val="0CC85974"/>
    <w:rsid w:val="0D420839"/>
    <w:rsid w:val="0F014DC5"/>
    <w:rsid w:val="10B51740"/>
    <w:rsid w:val="11B94E4F"/>
    <w:rsid w:val="143E5532"/>
    <w:rsid w:val="14462D84"/>
    <w:rsid w:val="153B1BF4"/>
    <w:rsid w:val="1865692A"/>
    <w:rsid w:val="1EEF4F06"/>
    <w:rsid w:val="2BB54FF9"/>
    <w:rsid w:val="32C32251"/>
    <w:rsid w:val="3D7878B9"/>
    <w:rsid w:val="3E892BF7"/>
    <w:rsid w:val="40CE1789"/>
    <w:rsid w:val="4BDF77AA"/>
    <w:rsid w:val="4FED4628"/>
    <w:rsid w:val="503E0627"/>
    <w:rsid w:val="58A268DC"/>
    <w:rsid w:val="5E7A28E8"/>
    <w:rsid w:val="6FE52BA3"/>
    <w:rsid w:val="719A1802"/>
    <w:rsid w:val="75FD11E9"/>
    <w:rsid w:val="7BDB2F95"/>
    <w:rsid w:val="7C22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rPr>
      <w:rFonts w:asciiTheme="minorHAnsi" w:hAnsiTheme="minorHAnsi" w:cstheme="minorBidi"/>
    </w:rPr>
  </w:style>
  <w:style w:type="paragraph" w:styleId="5">
    <w:name w:val="Body Text"/>
    <w:basedOn w:val="1"/>
    <w:link w:val="29"/>
    <w:unhideWhenUsed/>
    <w:qFormat/>
    <w:uiPriority w:val="99"/>
    <w:pPr>
      <w:spacing w:after="120"/>
    </w:pPr>
  </w:style>
  <w:style w:type="paragraph" w:styleId="6">
    <w:name w:val="Body Text Indent"/>
    <w:basedOn w:val="1"/>
    <w:link w:val="20"/>
    <w:qFormat/>
    <w:uiPriority w:val="0"/>
    <w:pPr>
      <w:ind w:firstLine="570"/>
    </w:pPr>
    <w:rPr>
      <w:rFonts w:ascii="宋体" w:hAnsi="宋体" w:cstheme="minorBidi"/>
      <w:sz w:val="28"/>
      <w:szCs w:val="22"/>
    </w:rPr>
  </w:style>
  <w:style w:type="paragraph" w:styleId="7">
    <w:name w:val="Plain Text"/>
    <w:basedOn w:val="1"/>
    <w:link w:val="19"/>
    <w:qFormat/>
    <w:uiPriority w:val="0"/>
    <w:pPr>
      <w:spacing w:line="360" w:lineRule="auto"/>
      <w:ind w:firstLine="510"/>
    </w:pPr>
    <w:rPr>
      <w:rFonts w:ascii="宋体" w:hAnsi="Courier New" w:cstheme="minorBidi"/>
      <w:sz w:val="24"/>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character" w:customStyle="1" w:styleId="17">
    <w:name w:val="标题 2 字符"/>
    <w:basedOn w:val="12"/>
    <w:link w:val="3"/>
    <w:qFormat/>
    <w:uiPriority w:val="0"/>
    <w:rPr>
      <w:rFonts w:ascii="Arial" w:hAnsi="Arial" w:eastAsia="黑体" w:cs="Times New Roman"/>
      <w:b/>
      <w:bCs/>
      <w:sz w:val="32"/>
      <w:szCs w:val="32"/>
    </w:rPr>
  </w:style>
  <w:style w:type="character" w:customStyle="1" w:styleId="18">
    <w:name w:val="批注文字 字符"/>
    <w:link w:val="4"/>
    <w:semiHidden/>
    <w:qFormat/>
    <w:uiPriority w:val="0"/>
    <w:rPr>
      <w:rFonts w:eastAsia="宋体"/>
      <w:szCs w:val="24"/>
    </w:rPr>
  </w:style>
  <w:style w:type="character" w:customStyle="1" w:styleId="19">
    <w:name w:val="纯文本 字符"/>
    <w:link w:val="7"/>
    <w:qFormat/>
    <w:uiPriority w:val="0"/>
    <w:rPr>
      <w:rFonts w:ascii="宋体" w:hAnsi="Courier New" w:eastAsia="宋体"/>
      <w:sz w:val="24"/>
    </w:rPr>
  </w:style>
  <w:style w:type="character" w:customStyle="1" w:styleId="20">
    <w:name w:val="正文文本缩进 字符"/>
    <w:link w:val="6"/>
    <w:qFormat/>
    <w:uiPriority w:val="0"/>
    <w:rPr>
      <w:rFonts w:ascii="宋体" w:hAnsi="宋体" w:eastAsia="宋体"/>
      <w:sz w:val="28"/>
    </w:rPr>
  </w:style>
  <w:style w:type="character" w:customStyle="1" w:styleId="21">
    <w:name w:val="批注文字 Char1"/>
    <w:basedOn w:val="12"/>
    <w:semiHidden/>
    <w:qFormat/>
    <w:uiPriority w:val="99"/>
    <w:rPr>
      <w:rFonts w:ascii="Times New Roman" w:hAnsi="Times New Roman" w:eastAsia="宋体" w:cs="Times New Roman"/>
      <w:szCs w:val="24"/>
    </w:rPr>
  </w:style>
  <w:style w:type="character" w:customStyle="1" w:styleId="22">
    <w:name w:val="纯文本 Char1"/>
    <w:basedOn w:val="12"/>
    <w:semiHidden/>
    <w:qFormat/>
    <w:uiPriority w:val="99"/>
    <w:rPr>
      <w:rFonts w:ascii="宋体" w:hAnsi="Courier New" w:eastAsia="宋体" w:cs="Courier New"/>
      <w:szCs w:val="21"/>
    </w:rPr>
  </w:style>
  <w:style w:type="character" w:customStyle="1" w:styleId="23">
    <w:name w:val="正文文本缩进 Char1"/>
    <w:basedOn w:val="12"/>
    <w:semiHidden/>
    <w:qFormat/>
    <w:uiPriority w:val="99"/>
    <w:rPr>
      <w:rFonts w:ascii="Times New Roman" w:hAnsi="Times New Roman" w:eastAsia="宋体" w:cs="Times New Roman"/>
      <w:szCs w:val="24"/>
    </w:rPr>
  </w:style>
  <w:style w:type="paragraph" w:customStyle="1" w:styleId="24">
    <w:name w:val="彩色列表1"/>
    <w:basedOn w:val="1"/>
    <w:qFormat/>
    <w:uiPriority w:val="34"/>
    <w:pPr>
      <w:ind w:firstLine="420" w:firstLineChars="200"/>
    </w:pPr>
    <w:rPr>
      <w:rFonts w:ascii="Calibri" w:hAnsi="Calibri"/>
      <w:szCs w:val="22"/>
    </w:rPr>
  </w:style>
  <w:style w:type="paragraph" w:customStyle="1" w:styleId="25">
    <w:name w:val="正文_0_0"/>
    <w:qFormat/>
    <w:uiPriority w:val="0"/>
    <w:rPr>
      <w:rFonts w:ascii="Times New Roman" w:hAnsi="Times New Roman" w:eastAsia="宋体" w:cs="Times New Roman"/>
      <w:sz w:val="21"/>
      <w:lang w:val="en-US" w:eastAsia="zh-CN" w:bidi="ar-SA"/>
    </w:rPr>
  </w:style>
  <w:style w:type="paragraph" w:customStyle="1" w:styleId="26">
    <w:name w:val="列出段落1"/>
    <w:basedOn w:val="1"/>
    <w:qFormat/>
    <w:uiPriority w:val="1"/>
    <w:pPr>
      <w:ind w:firstLine="420" w:firstLineChars="200"/>
    </w:pPr>
  </w:style>
  <w:style w:type="paragraph" w:styleId="27">
    <w:name w:val="List Paragraph"/>
    <w:basedOn w:val="1"/>
    <w:qFormat/>
    <w:uiPriority w:val="1"/>
    <w:pPr>
      <w:ind w:firstLine="420" w:firstLineChars="200"/>
    </w:pPr>
    <w:rPr>
      <w:rFonts w:ascii="Calibri" w:hAnsi="Calibri"/>
      <w:szCs w:val="22"/>
    </w:rPr>
  </w:style>
  <w:style w:type="paragraph" w:customStyle="1" w:styleId="28">
    <w:name w:val="样式1"/>
    <w:basedOn w:val="1"/>
    <w:qFormat/>
    <w:uiPriority w:val="0"/>
    <w:pPr>
      <w:tabs>
        <w:tab w:val="left" w:pos="709"/>
      </w:tabs>
      <w:ind w:left="784" w:hanging="360"/>
    </w:pPr>
    <w:rPr>
      <w:rFonts w:ascii="宋体" w:hAnsi="宋体" w:eastAsia="楷体_GB2312"/>
      <w:sz w:val="26"/>
      <w:szCs w:val="20"/>
    </w:rPr>
  </w:style>
  <w:style w:type="character" w:customStyle="1" w:styleId="29">
    <w:name w:val="正文文本 字符"/>
    <w:basedOn w:val="12"/>
    <w:link w:val="5"/>
    <w:semiHidden/>
    <w:qFormat/>
    <w:uiPriority w:val="99"/>
    <w:rPr>
      <w:rFonts w:ascii="Times New Roman" w:hAnsi="Times New Roman" w:eastAsia="宋体" w:cs="Times New Roman"/>
      <w:szCs w:val="24"/>
    </w:rPr>
  </w:style>
  <w:style w:type="character" w:customStyle="1" w:styleId="30">
    <w:name w:val="批注框文本 字符"/>
    <w:basedOn w:val="12"/>
    <w:link w:val="8"/>
    <w:semiHidden/>
    <w:qFormat/>
    <w:uiPriority w:val="99"/>
    <w:rPr>
      <w:rFonts w:ascii="Times New Roman" w:hAnsi="Times New Roman" w:eastAsia="宋体" w:cs="Times New Roman"/>
      <w:sz w:val="18"/>
      <w:szCs w:val="18"/>
    </w:rPr>
  </w:style>
  <w:style w:type="character" w:customStyle="1" w:styleId="31">
    <w:name w:val="font51"/>
    <w:basedOn w:val="12"/>
    <w:qFormat/>
    <w:uiPriority w:val="0"/>
    <w:rPr>
      <w:rFonts w:hint="eastAsia" w:ascii="等线" w:hAnsi="等线" w:eastAsia="等线" w:cs="等线"/>
      <w:b/>
      <w:bCs/>
      <w:color w:val="000000"/>
      <w:sz w:val="20"/>
      <w:szCs w:val="20"/>
      <w:u w:val="none"/>
    </w:rPr>
  </w:style>
  <w:style w:type="character" w:customStyle="1" w:styleId="32">
    <w:name w:val="font31"/>
    <w:basedOn w:val="12"/>
    <w:qFormat/>
    <w:uiPriority w:val="0"/>
    <w:rPr>
      <w:rFonts w:hint="eastAsia" w:ascii="等线" w:hAnsi="等线" w:eastAsia="等线" w:cs="等线"/>
      <w:color w:val="000000"/>
      <w:sz w:val="20"/>
      <w:szCs w:val="20"/>
      <w:u w:val="none"/>
    </w:rPr>
  </w:style>
  <w:style w:type="character" w:customStyle="1" w:styleId="33">
    <w:name w:val="font21"/>
    <w:basedOn w:val="12"/>
    <w:qFormat/>
    <w:uiPriority w:val="0"/>
    <w:rPr>
      <w:rFonts w:hint="eastAsia"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11801</Words>
  <Characters>12198</Characters>
  <Lines>103</Lines>
  <Paragraphs>29</Paragraphs>
  <TotalTime>13</TotalTime>
  <ScaleCrop>false</ScaleCrop>
  <LinksUpToDate>false</LinksUpToDate>
  <CharactersWithSpaces>13858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2022-06-02T12:09:18Z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AE9FF95562964CFE9ED202554FA25F07</vt:lpwstr>
  </property>
</Properties>
</file>